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64" w:rsidRPr="008C6006" w:rsidRDefault="00AB7064" w:rsidP="00AB7064">
      <w:pPr>
        <w:pStyle w:val="Standard"/>
        <w:spacing w:before="0" w:after="0" w:line="276" w:lineRule="auto"/>
        <w:jc w:val="right"/>
        <w:rPr>
          <w:rFonts w:asciiTheme="minorHAnsi" w:eastAsia="Trebuchet MS" w:hAnsiTheme="minorHAnsi" w:cstheme="minorHAnsi"/>
          <w:lang w:val="ro-RO"/>
        </w:rPr>
      </w:pPr>
    </w:p>
    <w:p w:rsidR="008C6006" w:rsidRDefault="008216A6" w:rsidP="00614DAE">
      <w:pPr>
        <w:shd w:val="clear" w:color="auto" w:fill="FFFFFF"/>
        <w:spacing w:before="0" w:after="0"/>
        <w:jc w:val="right"/>
        <w:rPr>
          <w:rFonts w:ascii="Times New Roman" w:hAnsi="Times New Roman"/>
          <w:b/>
          <w:bCs/>
          <w:color w:val="212529"/>
          <w:sz w:val="24"/>
        </w:rPr>
      </w:pPr>
      <w:r>
        <w:rPr>
          <w:rFonts w:asciiTheme="minorHAnsi" w:hAnsiTheme="minorHAnsi" w:cstheme="minorHAnsi"/>
          <w:b/>
          <w:bCs/>
          <w:color w:val="212529"/>
          <w:sz w:val="24"/>
        </w:rPr>
        <w:t xml:space="preserve">                      </w:t>
      </w:r>
      <w:r w:rsidR="00614DAE" w:rsidRPr="00614DAE">
        <w:rPr>
          <w:rFonts w:ascii="Times New Roman" w:hAnsi="Times New Roman"/>
          <w:b/>
          <w:bCs/>
          <w:color w:val="212529"/>
          <w:sz w:val="24"/>
        </w:rPr>
        <w:t xml:space="preserve">ANEXA NR.2 LA HOTĂRÂREA CONSILIULUI LOCAL AL MUNICIPIULUI CRAIOVA NR.141/2024 </w:t>
      </w:r>
    </w:p>
    <w:p w:rsidR="00614DAE" w:rsidRPr="00614DAE" w:rsidRDefault="00614DAE" w:rsidP="00614DAE">
      <w:pPr>
        <w:shd w:val="clear" w:color="auto" w:fill="FFFFFF"/>
        <w:spacing w:before="0" w:after="0"/>
        <w:jc w:val="right"/>
        <w:rPr>
          <w:rFonts w:ascii="Times New Roman" w:hAnsi="Times New Roman"/>
          <w:color w:val="212529"/>
          <w:sz w:val="24"/>
        </w:rPr>
      </w:pPr>
    </w:p>
    <w:p w:rsidR="00995CE1" w:rsidRPr="00614DAE" w:rsidRDefault="00995CE1" w:rsidP="00995CE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14DAE">
        <w:rPr>
          <w:rFonts w:ascii="Times New Roman" w:hAnsi="Times New Roman"/>
          <w:b/>
          <w:sz w:val="24"/>
        </w:rPr>
        <w:t xml:space="preserve">Lista privind investițiile de interes local ce se vor finanța </w:t>
      </w:r>
      <w:r w:rsidR="001431D1" w:rsidRPr="00614DAE">
        <w:rPr>
          <w:rFonts w:ascii="Times New Roman" w:hAnsi="Times New Roman"/>
          <w:b/>
          <w:sz w:val="24"/>
        </w:rPr>
        <w:t xml:space="preserve">în vederea realizării și finalizării </w:t>
      </w:r>
      <w:r w:rsidRPr="00614DAE">
        <w:rPr>
          <w:rFonts w:ascii="Times New Roman" w:hAnsi="Times New Roman"/>
          <w:b/>
          <w:sz w:val="24"/>
        </w:rPr>
        <w:t xml:space="preserve">din </w:t>
      </w:r>
    </w:p>
    <w:p w:rsidR="001431D1" w:rsidRPr="00614DAE" w:rsidRDefault="00995CE1" w:rsidP="00BA754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14DAE">
        <w:rPr>
          <w:rFonts w:ascii="Times New Roman" w:hAnsi="Times New Roman"/>
          <w:b/>
          <w:sz w:val="24"/>
        </w:rPr>
        <w:t xml:space="preserve">majorarea </w:t>
      </w:r>
      <w:r w:rsidR="00BA7545" w:rsidRPr="00614DAE">
        <w:rPr>
          <w:rFonts w:ascii="Times New Roman" w:hAnsi="Times New Roman"/>
          <w:b/>
          <w:sz w:val="24"/>
        </w:rPr>
        <w:t xml:space="preserve">finanțării rambursabile externe de 24,2 milioane euro, </w:t>
      </w:r>
    </w:p>
    <w:p w:rsidR="00995CE1" w:rsidRPr="00614DAE" w:rsidRDefault="00BA7545" w:rsidP="00BA754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14DAE">
        <w:rPr>
          <w:rFonts w:ascii="Times New Roman" w:hAnsi="Times New Roman"/>
          <w:b/>
          <w:sz w:val="24"/>
        </w:rPr>
        <w:t>cu suma de până la14 milioane de euro</w:t>
      </w:r>
    </w:p>
    <w:p w:rsidR="00995CE1" w:rsidRDefault="00995CE1" w:rsidP="00AB7064">
      <w:pPr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212529"/>
          <w:sz w:val="24"/>
        </w:rPr>
      </w:pPr>
    </w:p>
    <w:p w:rsidR="00995CE1" w:rsidRPr="008C6006" w:rsidRDefault="00995CE1" w:rsidP="00AB7064">
      <w:pPr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212529"/>
          <w:sz w:val="24"/>
        </w:rPr>
      </w:pPr>
    </w:p>
    <w:tbl>
      <w:tblPr>
        <w:tblW w:w="9856" w:type="dxa"/>
        <w:tblLook w:val="04A0"/>
      </w:tblPr>
      <w:tblGrid>
        <w:gridCol w:w="550"/>
        <w:gridCol w:w="5370"/>
        <w:gridCol w:w="1985"/>
        <w:gridCol w:w="1951"/>
      </w:tblGrid>
      <w:tr w:rsidR="002D726E" w:rsidRPr="008C6006" w:rsidTr="002D726E">
        <w:trPr>
          <w:trHeight w:val="82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6E" w:rsidRPr="008C6006" w:rsidRDefault="002D726E" w:rsidP="00AB706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</w:pPr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Nr. </w:t>
            </w: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crt</w:t>
            </w:r>
            <w:proofErr w:type="spellEnd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6E" w:rsidRPr="008C6006" w:rsidRDefault="002D726E" w:rsidP="00AB706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Denumire</w:t>
            </w:r>
            <w:proofErr w:type="spellEnd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obiective</w:t>
            </w:r>
            <w:proofErr w:type="spellEnd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de </w:t>
            </w: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investiții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26E" w:rsidRPr="008C6006" w:rsidRDefault="002D726E" w:rsidP="00AB706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Valoare</w:t>
            </w:r>
            <w:proofErr w:type="spellEnd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euro</w:t>
            </w:r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fără</w:t>
            </w:r>
            <w:proofErr w:type="spellEnd"/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TVA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26E" w:rsidRPr="008C6006" w:rsidRDefault="002D726E" w:rsidP="00AB706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Valoare</w:t>
            </w:r>
            <w:proofErr w:type="spellEnd"/>
            <w:r w:rsidRPr="008C6006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lei</w:t>
            </w:r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fără</w:t>
            </w:r>
            <w:proofErr w:type="spellEnd"/>
            <w:r w:rsidR="00162603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 xml:space="preserve"> TVA</w:t>
            </w:r>
          </w:p>
        </w:tc>
      </w:tr>
      <w:tr w:rsidR="002D726E" w:rsidRPr="002D726E" w:rsidTr="002D726E">
        <w:trPr>
          <w:trHeight w:val="9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6E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Școala Gimnazială „Ion Creangă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1.335.144,05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6.662.368,82</w:t>
            </w:r>
          </w:p>
        </w:tc>
      </w:tr>
      <w:tr w:rsidR="00162603" w:rsidRPr="002D726E" w:rsidTr="002D726E">
        <w:trPr>
          <w:trHeight w:val="9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03" w:rsidRPr="002D726E" w:rsidRDefault="00162603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03" w:rsidRPr="0005653F" w:rsidRDefault="00162603" w:rsidP="00162603">
            <w:pPr>
              <w:spacing w:before="0" w:after="0"/>
              <w:jc w:val="both"/>
              <w:rPr>
                <w:rFonts w:eastAsia="TimesNewRomanPSMT"/>
                <w:color w:val="000000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Școala Gimnazială „Sfântu Gheorghe”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603" w:rsidRPr="002D726E" w:rsidRDefault="00162603" w:rsidP="002D726E">
            <w:pPr>
              <w:spacing w:before="0" w:after="0"/>
              <w:jc w:val="right"/>
              <w:rPr>
                <w:rFonts w:asciiTheme="minorHAnsi" w:eastAsia="Lucida Sans Unicode" w:hAnsiTheme="minorHAnsi" w:cstheme="minorHAnsi"/>
                <w:sz w:val="24"/>
              </w:rPr>
            </w:pPr>
            <w:r>
              <w:rPr>
                <w:rFonts w:asciiTheme="minorHAnsi" w:eastAsia="Lucida Sans Unicode" w:hAnsiTheme="minorHAnsi" w:cstheme="minorHAnsi"/>
                <w:sz w:val="24"/>
              </w:rPr>
              <w:t>5.039.565,17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603" w:rsidRPr="00923459" w:rsidRDefault="00162603" w:rsidP="002D726E">
            <w:pPr>
              <w:spacing w:before="0" w:after="0"/>
              <w:jc w:val="right"/>
              <w:rPr>
                <w:rFonts w:eastAsia="TimesNewRomanPSMT"/>
              </w:rPr>
            </w:pPr>
            <w:r>
              <w:rPr>
                <w:rFonts w:eastAsia="TimesNewRomanPSMT"/>
              </w:rPr>
              <w:t>25.147.430,18</w:t>
            </w:r>
          </w:p>
        </w:tc>
      </w:tr>
      <w:tr w:rsidR="002D726E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2</w:t>
            </w:r>
            <w:r w:rsidR="00162603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.1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6E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Școala Gimnazială „Sfântu Gheorghe”</w:t>
            </w:r>
            <w:r>
              <w:rPr>
                <w:bCs/>
                <w:color w:val="000000"/>
                <w:lang w:eastAsia="ro-RO"/>
              </w:rPr>
              <w:t xml:space="preserve"> – Școala nr.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1.527.024,60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26E" w:rsidRPr="002D726E" w:rsidRDefault="002D726E" w:rsidP="002D726E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7.619.852,73</w:t>
            </w:r>
          </w:p>
        </w:tc>
      </w:tr>
      <w:tr w:rsidR="00995CE1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E1" w:rsidRPr="002D726E" w:rsidRDefault="00162603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1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Școala Gimnazială „Sfântu Gheorghe”</w:t>
            </w:r>
            <w:r>
              <w:rPr>
                <w:bCs/>
                <w:color w:val="000000"/>
                <w:lang w:eastAsia="ro-RO"/>
              </w:rPr>
              <w:t xml:space="preserve"> – Școala nr.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3.512.540,57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>7</w:t>
            </w:r>
            <w:r w:rsidRPr="00923459">
              <w:rPr>
                <w:rFonts w:eastAsia="TimesNewRomanPSMT"/>
              </w:rPr>
              <w:t>.</w:t>
            </w:r>
            <w:r>
              <w:rPr>
                <w:rFonts w:eastAsia="TimesNewRomanPSMT"/>
              </w:rPr>
              <w:t>527</w:t>
            </w:r>
            <w:r w:rsidRPr="00923459">
              <w:rPr>
                <w:rFonts w:eastAsia="TimesNewRomanPSMT"/>
              </w:rPr>
              <w:t>.</w:t>
            </w:r>
            <w:r>
              <w:rPr>
                <w:rFonts w:eastAsia="TimesNewRomanPSMT"/>
              </w:rPr>
              <w:t>577</w:t>
            </w:r>
            <w:r w:rsidRPr="00923459">
              <w:rPr>
                <w:rFonts w:eastAsia="TimesNewRomanPSMT"/>
              </w:rPr>
              <w:t>,</w:t>
            </w:r>
            <w:r>
              <w:rPr>
                <w:rFonts w:eastAsia="TimesNewRomanPSMT"/>
              </w:rPr>
              <w:t>45</w:t>
            </w:r>
          </w:p>
        </w:tc>
      </w:tr>
      <w:tr w:rsidR="00995CE1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E1" w:rsidRPr="002D726E" w:rsidRDefault="00162603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1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Grădinița „Pinocchio”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1.559.423,68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7.781.524,15</w:t>
            </w:r>
          </w:p>
        </w:tc>
      </w:tr>
      <w:tr w:rsidR="00995CE1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E1" w:rsidRPr="002D726E" w:rsidRDefault="00162603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1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Colegiul Național „Nicolae Titulescu”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3.162.805,60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15.782.399,96</w:t>
            </w:r>
          </w:p>
        </w:tc>
      </w:tr>
      <w:tr w:rsidR="00995CE1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E1" w:rsidRPr="002D726E" w:rsidRDefault="00162603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1" w:rsidRPr="002D726E" w:rsidRDefault="00995CE1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Grădinița „Castelul Fermecat”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1.377.806,20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23459">
              <w:rPr>
                <w:rFonts w:eastAsia="TimesNewRomanPSMT"/>
              </w:rPr>
              <w:t>6.875.252,96</w:t>
            </w:r>
          </w:p>
        </w:tc>
      </w:tr>
      <w:tr w:rsidR="00995CE1" w:rsidRPr="002D726E" w:rsidTr="002D726E">
        <w:trPr>
          <w:trHeight w:val="9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E1" w:rsidRPr="002D726E" w:rsidRDefault="00162603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1" w:rsidRPr="002D726E" w:rsidRDefault="00162603" w:rsidP="00162603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05653F">
              <w:rPr>
                <w:rFonts w:eastAsia="TimesNewRomanPSMT"/>
                <w:color w:val="000000"/>
              </w:rPr>
              <w:t xml:space="preserve">Măsuri de performanță energetică </w:t>
            </w:r>
            <w:r w:rsidRPr="0005653F">
              <w:rPr>
                <w:rFonts w:eastAsia="Lucida Sans Unicode"/>
                <w:color w:val="000000"/>
              </w:rPr>
              <w:t xml:space="preserve">privind clădiri aparținând de 6 unități de învățământ în Craiova la </w:t>
            </w:r>
            <w:r w:rsidRPr="0005653F">
              <w:rPr>
                <w:bCs/>
                <w:color w:val="000000"/>
                <w:lang w:eastAsia="ro-RO"/>
              </w:rPr>
              <w:t>Grădinița „Paradisul Copiilor”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Lucida Sans Unicode" w:hAnsiTheme="minorHAnsi" w:cstheme="minorHAnsi"/>
                <w:sz w:val="24"/>
              </w:rPr>
              <w:t>1.525.255,30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eastAsia="TimesNewRomanPSMT"/>
              </w:rPr>
              <w:t>7</w:t>
            </w:r>
            <w:r w:rsidRPr="00923459">
              <w:rPr>
                <w:rFonts w:eastAsia="TimesNewRomanPSMT"/>
              </w:rPr>
              <w:t>.</w:t>
            </w:r>
            <w:r>
              <w:rPr>
                <w:rFonts w:eastAsia="TimesNewRomanPSMT"/>
              </w:rPr>
              <w:t>6</w:t>
            </w:r>
            <w:r w:rsidRPr="00923459">
              <w:rPr>
                <w:rFonts w:eastAsia="TimesNewRomanPSMT"/>
              </w:rPr>
              <w:t>11.023,96</w:t>
            </w:r>
          </w:p>
        </w:tc>
      </w:tr>
      <w:tr w:rsidR="00995CE1" w:rsidRPr="002D726E" w:rsidTr="00A075B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E1" w:rsidRPr="002D726E" w:rsidRDefault="00995CE1" w:rsidP="00995CE1">
            <w:pPr>
              <w:spacing w:before="0" w:after="0"/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</w:pPr>
            <w:r w:rsidRPr="002D726E"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  <w:t> 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E1" w:rsidRPr="002D726E" w:rsidRDefault="00995CE1" w:rsidP="00995CE1">
            <w:pPr>
              <w:spacing w:before="0" w:after="0"/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lang w:val="en-US"/>
              </w:rPr>
            </w:pPr>
            <w:r w:rsidRPr="002D726E">
              <w:rPr>
                <w:rFonts w:asciiTheme="minorHAnsi" w:eastAsia="TimesNewRomanPS-BoldMT" w:hAnsiTheme="minorHAnsi" w:cstheme="minorHAnsi"/>
                <w:b/>
                <w:bCs/>
                <w:sz w:val="24"/>
              </w:rPr>
              <w:t>14.000.000,00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CE1" w:rsidRPr="002D726E" w:rsidRDefault="00995CE1" w:rsidP="00995CE1">
            <w:pPr>
              <w:spacing w:before="0" w:after="0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4"/>
                <w:lang w:val="en-US"/>
              </w:rPr>
              <w:t>69.860.000,03</w:t>
            </w:r>
          </w:p>
        </w:tc>
      </w:tr>
    </w:tbl>
    <w:p w:rsidR="008C6006" w:rsidRPr="002D726E" w:rsidRDefault="008C6006" w:rsidP="00AB7064">
      <w:pPr>
        <w:shd w:val="clear" w:color="auto" w:fill="FFFFFF"/>
        <w:spacing w:before="0" w:after="0"/>
        <w:jc w:val="center"/>
        <w:rPr>
          <w:rFonts w:asciiTheme="minorHAnsi" w:hAnsiTheme="minorHAnsi" w:cstheme="minorHAnsi"/>
          <w:b/>
          <w:i/>
          <w:color w:val="212529"/>
          <w:sz w:val="24"/>
        </w:rPr>
      </w:pPr>
    </w:p>
    <w:p w:rsidR="00E3080C" w:rsidRPr="008C6006" w:rsidRDefault="00E3080C" w:rsidP="00AB7064">
      <w:pPr>
        <w:pStyle w:val="Standard"/>
        <w:spacing w:before="0" w:after="0" w:line="276" w:lineRule="auto"/>
        <w:jc w:val="right"/>
        <w:rPr>
          <w:rFonts w:asciiTheme="minorHAnsi" w:eastAsia="Trebuchet MS" w:hAnsiTheme="minorHAnsi" w:cstheme="minorHAnsi"/>
          <w:lang w:val="ro-RO"/>
        </w:rPr>
      </w:pPr>
    </w:p>
    <w:p w:rsidR="00614DAE" w:rsidRDefault="00614DAE" w:rsidP="00614DAE">
      <w:pPr>
        <w:pStyle w:val="Standard"/>
        <w:spacing w:before="0" w:after="0" w:line="276" w:lineRule="auto"/>
        <w:rPr>
          <w:rFonts w:asciiTheme="minorHAnsi" w:eastAsia="Trebuchet MS" w:hAnsiTheme="minorHAnsi" w:cstheme="minorHAnsi"/>
          <w:lang w:val="ro-RO"/>
        </w:rPr>
      </w:pPr>
    </w:p>
    <w:p w:rsidR="00614DAE" w:rsidRDefault="00614DAE" w:rsidP="00614DAE">
      <w:pPr>
        <w:rPr>
          <w:rFonts w:eastAsia="Trebuchet MS"/>
        </w:rPr>
      </w:pPr>
    </w:p>
    <w:p w:rsidR="00E3080C" w:rsidRPr="00614DAE" w:rsidRDefault="00614DAE" w:rsidP="00614DAE">
      <w:pPr>
        <w:tabs>
          <w:tab w:val="left" w:pos="3780"/>
        </w:tabs>
        <w:jc w:val="center"/>
        <w:rPr>
          <w:rFonts w:ascii="Times New Roman" w:eastAsia="Trebuchet MS" w:hAnsi="Times New Roman"/>
          <w:b/>
          <w:sz w:val="24"/>
        </w:rPr>
      </w:pPr>
      <w:r w:rsidRPr="00614DAE">
        <w:rPr>
          <w:rFonts w:ascii="Times New Roman" w:eastAsia="Trebuchet MS" w:hAnsi="Times New Roman"/>
          <w:b/>
          <w:sz w:val="24"/>
        </w:rPr>
        <w:t>PREŞEDINTE DE ŞEDINŢĂ,</w:t>
      </w:r>
    </w:p>
    <w:p w:rsidR="00614DAE" w:rsidRPr="00614DAE" w:rsidRDefault="00614DAE" w:rsidP="00614DAE">
      <w:pPr>
        <w:tabs>
          <w:tab w:val="left" w:pos="3780"/>
        </w:tabs>
        <w:jc w:val="center"/>
        <w:rPr>
          <w:rFonts w:ascii="Times New Roman" w:eastAsia="Trebuchet MS" w:hAnsi="Times New Roman"/>
          <w:b/>
          <w:sz w:val="24"/>
        </w:rPr>
      </w:pPr>
      <w:r w:rsidRPr="00614DAE">
        <w:rPr>
          <w:rFonts w:ascii="Times New Roman" w:eastAsia="Trebuchet MS" w:hAnsi="Times New Roman"/>
          <w:b/>
          <w:sz w:val="24"/>
        </w:rPr>
        <w:t>Lucian Costin DINDIRICĂ</w:t>
      </w:r>
    </w:p>
    <w:sectPr w:rsidR="00614DAE" w:rsidRPr="00614DAE" w:rsidSect="004A0275">
      <w:pgSz w:w="11906" w:h="16838"/>
      <w:pgMar w:top="709" w:right="849" w:bottom="1417" w:left="1417" w:header="708" w:footer="30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AB" w:rsidRDefault="005A22AB" w:rsidP="000F2B90">
      <w:pPr>
        <w:spacing w:before="0" w:after="0"/>
      </w:pPr>
      <w:r>
        <w:separator/>
      </w:r>
    </w:p>
  </w:endnote>
  <w:endnote w:type="continuationSeparator" w:id="1">
    <w:p w:rsidR="005A22AB" w:rsidRDefault="005A22AB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Yu Gothic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AB" w:rsidRDefault="005A22AB" w:rsidP="000F2B90">
      <w:pPr>
        <w:spacing w:before="0" w:after="0"/>
      </w:pPr>
      <w:r>
        <w:separator/>
      </w:r>
    </w:p>
  </w:footnote>
  <w:footnote w:type="continuationSeparator" w:id="1">
    <w:p w:rsidR="005A22AB" w:rsidRDefault="005A22AB" w:rsidP="000F2B9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D25"/>
    <w:multiLevelType w:val="hybridMultilevel"/>
    <w:tmpl w:val="9678F7E6"/>
    <w:lvl w:ilvl="0" w:tplc="BAC0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6FEF"/>
    <w:multiLevelType w:val="hybridMultilevel"/>
    <w:tmpl w:val="6332E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716"/>
    <w:multiLevelType w:val="multilevel"/>
    <w:tmpl w:val="42EE29DC"/>
    <w:name w:val="Heading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AF1296"/>
    <w:multiLevelType w:val="hybridMultilevel"/>
    <w:tmpl w:val="5C62AD5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5C3904"/>
    <w:multiLevelType w:val="hybridMultilevel"/>
    <w:tmpl w:val="3A5A1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3B40"/>
    <w:multiLevelType w:val="multilevel"/>
    <w:tmpl w:val="92C2AB6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DF05AF"/>
    <w:multiLevelType w:val="hybridMultilevel"/>
    <w:tmpl w:val="00A65E3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867D89"/>
    <w:multiLevelType w:val="hybridMultilevel"/>
    <w:tmpl w:val="85407FDE"/>
    <w:lvl w:ilvl="0" w:tplc="BAC0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61E0"/>
    <w:multiLevelType w:val="hybridMultilevel"/>
    <w:tmpl w:val="37981D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244CB"/>
    <w:multiLevelType w:val="multilevel"/>
    <w:tmpl w:val="C4A0EB3E"/>
    <w:name w:val="criterii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E982E6D"/>
    <w:multiLevelType w:val="hybridMultilevel"/>
    <w:tmpl w:val="EC8C4140"/>
    <w:lvl w:ilvl="0" w:tplc="89FC05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68D"/>
    <w:multiLevelType w:val="hybridMultilevel"/>
    <w:tmpl w:val="9FE20842"/>
    <w:lvl w:ilvl="0" w:tplc="BAC0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A116B"/>
    <w:multiLevelType w:val="hybridMultilevel"/>
    <w:tmpl w:val="945E5BB4"/>
    <w:lvl w:ilvl="0" w:tplc="BAC0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62FC6"/>
    <w:multiLevelType w:val="multilevel"/>
    <w:tmpl w:val="D19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436660CF"/>
    <w:multiLevelType w:val="hybridMultilevel"/>
    <w:tmpl w:val="42E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E49E8"/>
    <w:multiLevelType w:val="hybridMultilevel"/>
    <w:tmpl w:val="00A65E3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5072E2"/>
    <w:multiLevelType w:val="hybridMultilevel"/>
    <w:tmpl w:val="D076B99C"/>
    <w:lvl w:ilvl="0" w:tplc="A3488940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26DD8"/>
    <w:multiLevelType w:val="hybridMultilevel"/>
    <w:tmpl w:val="2BF24740"/>
    <w:lvl w:ilvl="0" w:tplc="6E4CE5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84C30BE"/>
    <w:multiLevelType w:val="hybridMultilevel"/>
    <w:tmpl w:val="56F8F674"/>
    <w:lvl w:ilvl="0" w:tplc="BAC0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84318"/>
    <w:multiLevelType w:val="hybridMultilevel"/>
    <w:tmpl w:val="AFB2F25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4D7976"/>
    <w:multiLevelType w:val="hybridMultilevel"/>
    <w:tmpl w:val="090C6F40"/>
    <w:lvl w:ilvl="0" w:tplc="9ED4CB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21"/>
  </w:num>
  <w:num w:numId="8">
    <w:abstractNumId w:val="19"/>
  </w:num>
  <w:num w:numId="9">
    <w:abstractNumId w:val="14"/>
  </w:num>
  <w:num w:numId="10">
    <w:abstractNumId w:val="11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5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84758"/>
    <w:rsid w:val="00007207"/>
    <w:rsid w:val="0001567B"/>
    <w:rsid w:val="00035E72"/>
    <w:rsid w:val="00046848"/>
    <w:rsid w:val="00072508"/>
    <w:rsid w:val="000943B7"/>
    <w:rsid w:val="00096B0E"/>
    <w:rsid w:val="000B36B5"/>
    <w:rsid w:val="000C3CF3"/>
    <w:rsid w:val="000D1265"/>
    <w:rsid w:val="000D3547"/>
    <w:rsid w:val="000E2715"/>
    <w:rsid w:val="000E7DBE"/>
    <w:rsid w:val="000F2B90"/>
    <w:rsid w:val="000F463F"/>
    <w:rsid w:val="00110175"/>
    <w:rsid w:val="001431D1"/>
    <w:rsid w:val="00145418"/>
    <w:rsid w:val="00145A87"/>
    <w:rsid w:val="00152F77"/>
    <w:rsid w:val="001571E5"/>
    <w:rsid w:val="00160B26"/>
    <w:rsid w:val="00162603"/>
    <w:rsid w:val="00172E92"/>
    <w:rsid w:val="00173B07"/>
    <w:rsid w:val="001812D9"/>
    <w:rsid w:val="00181F4F"/>
    <w:rsid w:val="001945A7"/>
    <w:rsid w:val="001A5E10"/>
    <w:rsid w:val="001B0AB9"/>
    <w:rsid w:val="001B61A6"/>
    <w:rsid w:val="001C122C"/>
    <w:rsid w:val="001C759D"/>
    <w:rsid w:val="001D7EBE"/>
    <w:rsid w:val="001E5588"/>
    <w:rsid w:val="001F78A0"/>
    <w:rsid w:val="00200071"/>
    <w:rsid w:val="0020295E"/>
    <w:rsid w:val="0026697D"/>
    <w:rsid w:val="002A1921"/>
    <w:rsid w:val="002C3619"/>
    <w:rsid w:val="002D726E"/>
    <w:rsid w:val="002E0E0A"/>
    <w:rsid w:val="0032711A"/>
    <w:rsid w:val="003373A3"/>
    <w:rsid w:val="00350DC4"/>
    <w:rsid w:val="00354D70"/>
    <w:rsid w:val="00355AD3"/>
    <w:rsid w:val="0036233E"/>
    <w:rsid w:val="003674E3"/>
    <w:rsid w:val="003918B1"/>
    <w:rsid w:val="003A40E3"/>
    <w:rsid w:val="003A43E5"/>
    <w:rsid w:val="003C04FF"/>
    <w:rsid w:val="003C0D9F"/>
    <w:rsid w:val="003C4CB6"/>
    <w:rsid w:val="003F0208"/>
    <w:rsid w:val="003F0704"/>
    <w:rsid w:val="003F4F78"/>
    <w:rsid w:val="00405336"/>
    <w:rsid w:val="00414380"/>
    <w:rsid w:val="00421464"/>
    <w:rsid w:val="004312DE"/>
    <w:rsid w:val="0043271E"/>
    <w:rsid w:val="00432DEC"/>
    <w:rsid w:val="00433CA9"/>
    <w:rsid w:val="00437CAC"/>
    <w:rsid w:val="00441CFE"/>
    <w:rsid w:val="00461F4C"/>
    <w:rsid w:val="0047147E"/>
    <w:rsid w:val="004852A1"/>
    <w:rsid w:val="00495B36"/>
    <w:rsid w:val="004A0275"/>
    <w:rsid w:val="004A03DD"/>
    <w:rsid w:val="004B42A8"/>
    <w:rsid w:val="004E6B9C"/>
    <w:rsid w:val="004F04CF"/>
    <w:rsid w:val="004F16CD"/>
    <w:rsid w:val="004F6EEF"/>
    <w:rsid w:val="005374CA"/>
    <w:rsid w:val="00541825"/>
    <w:rsid w:val="00551F40"/>
    <w:rsid w:val="00553FE6"/>
    <w:rsid w:val="00556E55"/>
    <w:rsid w:val="0058363E"/>
    <w:rsid w:val="00584FE3"/>
    <w:rsid w:val="005A22AB"/>
    <w:rsid w:val="005A5381"/>
    <w:rsid w:val="005C2E83"/>
    <w:rsid w:val="005C4C81"/>
    <w:rsid w:val="005D5233"/>
    <w:rsid w:val="005D5621"/>
    <w:rsid w:val="005F55E6"/>
    <w:rsid w:val="006033BE"/>
    <w:rsid w:val="00604931"/>
    <w:rsid w:val="00614DAE"/>
    <w:rsid w:val="00615DA1"/>
    <w:rsid w:val="006209F3"/>
    <w:rsid w:val="00624E07"/>
    <w:rsid w:val="0062653E"/>
    <w:rsid w:val="006366CF"/>
    <w:rsid w:val="00644F55"/>
    <w:rsid w:val="00652B3A"/>
    <w:rsid w:val="006853B8"/>
    <w:rsid w:val="00690819"/>
    <w:rsid w:val="006A4D3F"/>
    <w:rsid w:val="006A7155"/>
    <w:rsid w:val="006D3858"/>
    <w:rsid w:val="007005B7"/>
    <w:rsid w:val="0071297F"/>
    <w:rsid w:val="007160B4"/>
    <w:rsid w:val="00724C92"/>
    <w:rsid w:val="00724DA4"/>
    <w:rsid w:val="00742558"/>
    <w:rsid w:val="007543B8"/>
    <w:rsid w:val="00755EA1"/>
    <w:rsid w:val="00770218"/>
    <w:rsid w:val="0078152D"/>
    <w:rsid w:val="00786671"/>
    <w:rsid w:val="007875E9"/>
    <w:rsid w:val="007B0895"/>
    <w:rsid w:val="007E31DB"/>
    <w:rsid w:val="007E77E2"/>
    <w:rsid w:val="008216A6"/>
    <w:rsid w:val="00823309"/>
    <w:rsid w:val="00824094"/>
    <w:rsid w:val="00831174"/>
    <w:rsid w:val="0083288C"/>
    <w:rsid w:val="00836029"/>
    <w:rsid w:val="0086003E"/>
    <w:rsid w:val="0088003E"/>
    <w:rsid w:val="008809DC"/>
    <w:rsid w:val="00894D6E"/>
    <w:rsid w:val="008A0002"/>
    <w:rsid w:val="008B7F63"/>
    <w:rsid w:val="008C5F3C"/>
    <w:rsid w:val="008C6006"/>
    <w:rsid w:val="008E4B05"/>
    <w:rsid w:val="008F4797"/>
    <w:rsid w:val="008F7B58"/>
    <w:rsid w:val="009054D6"/>
    <w:rsid w:val="0094279E"/>
    <w:rsid w:val="00947303"/>
    <w:rsid w:val="00950184"/>
    <w:rsid w:val="00955674"/>
    <w:rsid w:val="00974C4A"/>
    <w:rsid w:val="00983168"/>
    <w:rsid w:val="00986B7E"/>
    <w:rsid w:val="00995CE1"/>
    <w:rsid w:val="009C11D4"/>
    <w:rsid w:val="009C35EC"/>
    <w:rsid w:val="009E53C1"/>
    <w:rsid w:val="00A00C69"/>
    <w:rsid w:val="00A15DAB"/>
    <w:rsid w:val="00A233C8"/>
    <w:rsid w:val="00A253B8"/>
    <w:rsid w:val="00A36511"/>
    <w:rsid w:val="00A55C5A"/>
    <w:rsid w:val="00A71DB8"/>
    <w:rsid w:val="00A779B8"/>
    <w:rsid w:val="00A921CE"/>
    <w:rsid w:val="00AA57BC"/>
    <w:rsid w:val="00AA5F31"/>
    <w:rsid w:val="00AB7064"/>
    <w:rsid w:val="00AC25CF"/>
    <w:rsid w:val="00AD5C4A"/>
    <w:rsid w:val="00AF450A"/>
    <w:rsid w:val="00B01CEC"/>
    <w:rsid w:val="00B02C00"/>
    <w:rsid w:val="00B327A9"/>
    <w:rsid w:val="00B35C19"/>
    <w:rsid w:val="00B40D98"/>
    <w:rsid w:val="00B43703"/>
    <w:rsid w:val="00BA1969"/>
    <w:rsid w:val="00BA7545"/>
    <w:rsid w:val="00BB66F1"/>
    <w:rsid w:val="00BC45AF"/>
    <w:rsid w:val="00BD2275"/>
    <w:rsid w:val="00BE7CA6"/>
    <w:rsid w:val="00C155F2"/>
    <w:rsid w:val="00C25FC6"/>
    <w:rsid w:val="00C84758"/>
    <w:rsid w:val="00CA37BC"/>
    <w:rsid w:val="00CA49EB"/>
    <w:rsid w:val="00CB139D"/>
    <w:rsid w:val="00CC0B38"/>
    <w:rsid w:val="00CE0425"/>
    <w:rsid w:val="00CF65AE"/>
    <w:rsid w:val="00CF744F"/>
    <w:rsid w:val="00D12A12"/>
    <w:rsid w:val="00D22998"/>
    <w:rsid w:val="00D246AB"/>
    <w:rsid w:val="00D32B91"/>
    <w:rsid w:val="00D47C2F"/>
    <w:rsid w:val="00D62B33"/>
    <w:rsid w:val="00D80A8B"/>
    <w:rsid w:val="00D81434"/>
    <w:rsid w:val="00DA5DA0"/>
    <w:rsid w:val="00DB7A52"/>
    <w:rsid w:val="00DC362E"/>
    <w:rsid w:val="00DC6792"/>
    <w:rsid w:val="00DD615A"/>
    <w:rsid w:val="00E00476"/>
    <w:rsid w:val="00E173C4"/>
    <w:rsid w:val="00E3080C"/>
    <w:rsid w:val="00E31979"/>
    <w:rsid w:val="00E51B96"/>
    <w:rsid w:val="00E97A12"/>
    <w:rsid w:val="00EB383A"/>
    <w:rsid w:val="00EE00C6"/>
    <w:rsid w:val="00EE0AED"/>
    <w:rsid w:val="00EE25FA"/>
    <w:rsid w:val="00EE49BE"/>
    <w:rsid w:val="00F01AF0"/>
    <w:rsid w:val="00F074E6"/>
    <w:rsid w:val="00F112E6"/>
    <w:rsid w:val="00F20D05"/>
    <w:rsid w:val="00F3305E"/>
    <w:rsid w:val="00F336DF"/>
    <w:rsid w:val="00F53678"/>
    <w:rsid w:val="00F66B3B"/>
    <w:rsid w:val="00F71E3A"/>
    <w:rsid w:val="00F81812"/>
    <w:rsid w:val="00F836BF"/>
    <w:rsid w:val="00F91A71"/>
    <w:rsid w:val="00FB6EBC"/>
    <w:rsid w:val="00FE094D"/>
    <w:rsid w:val="00FE6B1A"/>
    <w:rsid w:val="00FE6CB6"/>
    <w:rsid w:val="00FF1FBE"/>
    <w:rsid w:val="00FF20DD"/>
    <w:rsid w:val="00FF3F54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0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paragraph" w:styleId="NormalWeb">
    <w:name w:val="Normal (Web)"/>
    <w:basedOn w:val="Normal"/>
    <w:rsid w:val="002C3619"/>
    <w:pPr>
      <w:spacing w:before="25" w:after="202"/>
    </w:pPr>
    <w:rPr>
      <w:rFonts w:ascii="Times New Roman" w:hAnsi="Times New Roman"/>
      <w:noProof/>
      <w:szCs w:val="20"/>
      <w:lang w:eastAsia="ro-RO"/>
    </w:rPr>
  </w:style>
  <w:style w:type="character" w:customStyle="1" w:styleId="WW-DefaultParagraphFont">
    <w:name w:val="WW-Default Paragraph Font"/>
    <w:rsid w:val="00644F55"/>
  </w:style>
  <w:style w:type="character" w:styleId="Strong">
    <w:name w:val="Strong"/>
    <w:uiPriority w:val="22"/>
    <w:qFormat/>
    <w:rsid w:val="00644F55"/>
    <w:rPr>
      <w:b/>
      <w:bCs/>
    </w:rPr>
  </w:style>
  <w:style w:type="paragraph" w:customStyle="1" w:styleId="NoSpacing2">
    <w:name w:val="No Spacing2"/>
    <w:link w:val="NoSpacingChar"/>
    <w:qFormat/>
    <w:rsid w:val="00FE6CB6"/>
    <w:rPr>
      <w:rFonts w:eastAsia="PMingLiU"/>
      <w:sz w:val="24"/>
      <w:szCs w:val="24"/>
      <w:lang w:eastAsia="en-US"/>
    </w:rPr>
  </w:style>
  <w:style w:type="character" w:customStyle="1" w:styleId="NoSpacingChar">
    <w:name w:val="No Spacing Char"/>
    <w:link w:val="NoSpacing2"/>
    <w:rsid w:val="00FE6CB6"/>
    <w:rPr>
      <w:rFonts w:eastAsia="PMingLiU"/>
      <w:sz w:val="24"/>
      <w:szCs w:val="24"/>
      <w:lang w:eastAsia="en-US"/>
    </w:rPr>
  </w:style>
  <w:style w:type="paragraph" w:customStyle="1" w:styleId="Default">
    <w:name w:val="Default"/>
    <w:rsid w:val="0020295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n-US"/>
    </w:rPr>
  </w:style>
  <w:style w:type="paragraph" w:customStyle="1" w:styleId="Titlu11">
    <w:name w:val="Titlu 11"/>
    <w:next w:val="Normal"/>
    <w:rsid w:val="00A71DB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b/>
      <w:bCs/>
      <w:i/>
      <w:iCs/>
      <w:color w:val="000000"/>
      <w:kern w:val="1"/>
      <w:sz w:val="24"/>
      <w:szCs w:val="24"/>
      <w:u w:val="single" w:color="000000"/>
      <w:bdr w:val="nil"/>
      <w:lang w:val="en-US" w:eastAsia="en-US"/>
    </w:rPr>
  </w:style>
  <w:style w:type="paragraph" w:customStyle="1" w:styleId="NormalIMP">
    <w:name w:val="Normal_IMP"/>
    <w:rsid w:val="00A71DB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val="en-US" w:eastAsia="en-US"/>
    </w:rPr>
  </w:style>
  <w:style w:type="paragraph" w:customStyle="1" w:styleId="al">
    <w:name w:val="a_l"/>
    <w:rsid w:val="00A71DB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color w:val="000000"/>
      <w:kern w:val="1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39"/>
    <w:rsid w:val="00A71D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711A"/>
    <w:pPr>
      <w:suppressAutoHyphens/>
      <w:autoSpaceDN w:val="0"/>
      <w:spacing w:before="120" w:after="120"/>
      <w:textAlignment w:val="baseline"/>
    </w:pPr>
    <w:rPr>
      <w:rFonts w:ascii="Constantia" w:hAnsi="Constantia" w:cs="Constantia"/>
      <w:color w:val="000000"/>
      <w:kern w:val="3"/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AA5F31"/>
    <w:pPr>
      <w:widowControl w:val="0"/>
      <w:suppressAutoHyphens/>
      <w:spacing w:before="0" w:after="0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numbering" w:customStyle="1" w:styleId="WWNum33">
    <w:name w:val="WWNum33"/>
    <w:basedOn w:val="NoList"/>
    <w:rsid w:val="00E3080C"/>
    <w:pPr>
      <w:numPr>
        <w:numId w:val="15"/>
      </w:numPr>
    </w:pPr>
  </w:style>
  <w:style w:type="paragraph" w:styleId="Revision">
    <w:name w:val="Revision"/>
    <w:hidden/>
    <w:uiPriority w:val="99"/>
    <w:semiHidden/>
    <w:rsid w:val="00BA1969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45786f-a737-4735-8af6-df12fb6939a2" origin="userSelected"/>
</file>

<file path=customXml/itemProps1.xml><?xml version="1.0" encoding="utf-8"?>
<ds:datastoreItem xmlns:ds="http://schemas.openxmlformats.org/officeDocument/2006/customXml" ds:itemID="{E918060A-A5BF-4DBE-AFD2-A345060B31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Arhire, Corina</dc:creator>
  <cp:keywords>[EBRD]</cp:keywords>
  <cp:lastModifiedBy>utilizator sapl11</cp:lastModifiedBy>
  <cp:revision>3</cp:revision>
  <cp:lastPrinted>2024-02-21T07:24:00Z</cp:lastPrinted>
  <dcterms:created xsi:type="dcterms:W3CDTF">2024-02-29T08:53:00Z</dcterms:created>
  <dcterms:modified xsi:type="dcterms:W3CDTF">2024-02-29T08:55:00Z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2f66c494-ccd7-4f77-8642-c114ff4aea18</vt:lpwstr>
  </property>
  <property fmtid="{D5CDD505-2E9C-101B-9397-08002B2CF9AE}" pid="3" name="bjSaver">
    <vt:lpwstr>Lr+8A6MaBFRKO7y4FLoHhd9HuQvJ8Ho7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